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9D1A0" w14:textId="77777777" w:rsidR="005112F6" w:rsidRDefault="00DE03E9" w:rsidP="005112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112F6">
        <w:rPr>
          <w:rFonts w:ascii="Arial" w:hAnsi="Arial" w:cs="Arial"/>
        </w:rPr>
        <w:t xml:space="preserve">Many people across the world have difficulties </w:t>
      </w:r>
      <w:r w:rsidR="005112F6">
        <w:rPr>
          <w:rFonts w:ascii="Arial" w:hAnsi="Arial" w:cs="Arial"/>
        </w:rPr>
        <w:t>with reading and writing</w:t>
      </w:r>
      <w:r w:rsidRPr="005112F6">
        <w:rPr>
          <w:rFonts w:ascii="Arial" w:hAnsi="Arial" w:cs="Arial"/>
        </w:rPr>
        <w:t xml:space="preserve">, regardless of the languages they speak.  </w:t>
      </w:r>
    </w:p>
    <w:p w14:paraId="50147ED3" w14:textId="77777777" w:rsidR="005112F6" w:rsidRDefault="005112F6" w:rsidP="005112F6">
      <w:pPr>
        <w:pStyle w:val="ListParagraph"/>
        <w:ind w:left="420"/>
        <w:rPr>
          <w:rFonts w:ascii="Arial" w:hAnsi="Arial" w:cs="Arial"/>
        </w:rPr>
      </w:pPr>
    </w:p>
    <w:p w14:paraId="24C9A736" w14:textId="39BEE48A" w:rsidR="005112F6" w:rsidRDefault="005112F6" w:rsidP="005112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79B3">
        <w:rPr>
          <w:rFonts w:ascii="Arial" w:hAnsi="Arial" w:cs="Arial"/>
        </w:rPr>
        <w:t xml:space="preserve">Literacy difficulties are sometimes known as ‘dyslexia’. Within the UK, </w:t>
      </w:r>
      <w:r>
        <w:rPr>
          <w:rFonts w:ascii="Arial" w:hAnsi="Arial" w:cs="Arial"/>
        </w:rPr>
        <w:t>several</w:t>
      </w:r>
      <w:r w:rsidRPr="00D279B3">
        <w:rPr>
          <w:rFonts w:ascii="Arial" w:hAnsi="Arial" w:cs="Arial"/>
        </w:rPr>
        <w:t xml:space="preserve"> definitions for dyslexia are in use</w:t>
      </w:r>
      <w:r>
        <w:rPr>
          <w:rFonts w:ascii="Arial" w:hAnsi="Arial" w:cs="Arial"/>
        </w:rPr>
        <w:t xml:space="preserve"> which has meant there are some problems with when it comes to the definition on dyslexia and studies have found there appears to be no clear-cut basis for differential diagnosis of dyslexia versus poor reader. </w:t>
      </w:r>
    </w:p>
    <w:p w14:paraId="00A94BFE" w14:textId="77777777" w:rsidR="005112F6" w:rsidRPr="005112F6" w:rsidRDefault="005112F6" w:rsidP="005112F6">
      <w:pPr>
        <w:pStyle w:val="ListParagraph"/>
        <w:rPr>
          <w:rFonts w:ascii="Arial" w:hAnsi="Arial" w:cs="Arial"/>
        </w:rPr>
      </w:pPr>
    </w:p>
    <w:p w14:paraId="4146854A" w14:textId="5765D455" w:rsidR="005112F6" w:rsidRPr="005112F6" w:rsidRDefault="005112F6" w:rsidP="005112F6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</w:rPr>
      </w:pPr>
      <w:r w:rsidRPr="00D279B3">
        <w:rPr>
          <w:rFonts w:ascii="Arial" w:hAnsi="Arial" w:cs="Arial"/>
        </w:rPr>
        <w:t>There are some difficulties that may accompany literacy difficulties such as difficulties with motor coordination,</w:t>
      </w:r>
      <w:r>
        <w:rPr>
          <w:rFonts w:ascii="Arial" w:hAnsi="Arial" w:cs="Arial"/>
        </w:rPr>
        <w:t xml:space="preserve"> working memory or organisation</w:t>
      </w:r>
      <w:r w:rsidRPr="00D279B3">
        <w:rPr>
          <w:rFonts w:ascii="Arial" w:hAnsi="Arial" w:cs="Arial"/>
        </w:rPr>
        <w:t xml:space="preserve"> (known as co-morbid difficulties),</w:t>
      </w:r>
      <w:r w:rsidRPr="00D279B3" w:rsidDel="00267584">
        <w:rPr>
          <w:rFonts w:ascii="Arial" w:hAnsi="Arial" w:cs="Arial"/>
        </w:rPr>
        <w:t xml:space="preserve"> </w:t>
      </w:r>
      <w:r w:rsidRPr="00D279B3">
        <w:rPr>
          <w:rFonts w:ascii="Arial" w:hAnsi="Arial" w:cs="Arial"/>
        </w:rPr>
        <w:t>but these do not constitute diagnostic criteria.</w:t>
      </w:r>
    </w:p>
    <w:p w14:paraId="517CF16B" w14:textId="77777777" w:rsidR="005112F6" w:rsidRPr="005112F6" w:rsidRDefault="005112F6" w:rsidP="005112F6">
      <w:pPr>
        <w:pStyle w:val="ListParagraph"/>
        <w:ind w:left="420"/>
        <w:rPr>
          <w:rFonts w:ascii="Arial" w:hAnsi="Arial" w:cs="Arial"/>
        </w:rPr>
      </w:pPr>
    </w:p>
    <w:p w14:paraId="3AB418EF" w14:textId="23B89B16" w:rsidR="005112F6" w:rsidRDefault="00DE03E9" w:rsidP="005112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112F6">
        <w:rPr>
          <w:rFonts w:ascii="Arial" w:hAnsi="Arial" w:cs="Arial"/>
        </w:rPr>
        <w:t xml:space="preserve">It is important to understand that access to intervention and support is the most important action for a child or young person with literacy difficulties. </w:t>
      </w:r>
    </w:p>
    <w:p w14:paraId="7C226398" w14:textId="77777777" w:rsidR="005112F6" w:rsidRPr="005112F6" w:rsidRDefault="005112F6" w:rsidP="005112F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9597EAD" w14:textId="62319291" w:rsidR="00DE03E9" w:rsidRDefault="00DE03E9" w:rsidP="005112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112F6">
        <w:rPr>
          <w:rFonts w:ascii="Arial" w:hAnsi="Arial" w:cs="Arial"/>
        </w:rPr>
        <w:t xml:space="preserve">This support and intervention </w:t>
      </w:r>
      <w:proofErr w:type="gramStart"/>
      <w:r w:rsidRPr="005112F6">
        <w:rPr>
          <w:rFonts w:ascii="Arial" w:hAnsi="Arial" w:cs="Arial"/>
        </w:rPr>
        <w:t>is</w:t>
      </w:r>
      <w:proofErr w:type="gramEnd"/>
      <w:r w:rsidRPr="005112F6">
        <w:rPr>
          <w:rFonts w:ascii="Arial" w:hAnsi="Arial" w:cs="Arial"/>
        </w:rPr>
        <w:t xml:space="preserve"> not based upon a diagnosis, but on</w:t>
      </w:r>
      <w:r w:rsidR="005112F6">
        <w:rPr>
          <w:rFonts w:ascii="Arial" w:hAnsi="Arial" w:cs="Arial"/>
        </w:rPr>
        <w:t xml:space="preserve"> your child/ young person’s needs based on</w:t>
      </w:r>
      <w:r w:rsidRPr="005112F6">
        <w:rPr>
          <w:rFonts w:ascii="Arial" w:hAnsi="Arial" w:cs="Arial"/>
        </w:rPr>
        <w:t xml:space="preserve"> assessment</w:t>
      </w:r>
      <w:r w:rsidR="005112F6">
        <w:rPr>
          <w:rFonts w:ascii="Arial" w:hAnsi="Arial" w:cs="Arial"/>
        </w:rPr>
        <w:t xml:space="preserve">. </w:t>
      </w:r>
      <w:r w:rsidRPr="005112F6">
        <w:rPr>
          <w:rFonts w:ascii="Arial" w:hAnsi="Arial" w:cs="Arial"/>
        </w:rPr>
        <w:t>The advantage of this approach is that it ensures that all children with literacy difficulties are identified and provided with interventions geared to their needs.</w:t>
      </w:r>
    </w:p>
    <w:p w14:paraId="39ED8DA6" w14:textId="77777777" w:rsidR="005112F6" w:rsidRPr="005112F6" w:rsidRDefault="005112F6" w:rsidP="005112F6">
      <w:pPr>
        <w:pStyle w:val="ListParagraph"/>
        <w:rPr>
          <w:rFonts w:ascii="Arial" w:hAnsi="Arial" w:cs="Arial"/>
        </w:rPr>
      </w:pPr>
    </w:p>
    <w:p w14:paraId="22D0A8EF" w14:textId="0B2FE83B" w:rsidR="005112F6" w:rsidRPr="005112F6" w:rsidRDefault="005112F6" w:rsidP="005112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2648E">
        <w:rPr>
          <w:rFonts w:ascii="Arial" w:hAnsi="Arial" w:cs="Arial"/>
          <w:color w:val="000000"/>
          <w:lang w:bidi="en-US"/>
        </w:rPr>
        <w:t xml:space="preserve">Every </w:t>
      </w:r>
      <w:r>
        <w:rPr>
          <w:rFonts w:ascii="Arial" w:hAnsi="Arial" w:cs="Arial"/>
          <w:color w:val="000000"/>
          <w:lang w:bidi="en-US"/>
        </w:rPr>
        <w:t>educational setting</w:t>
      </w:r>
      <w:r w:rsidRPr="0062648E">
        <w:rPr>
          <w:rFonts w:ascii="Arial" w:hAnsi="Arial" w:cs="Arial"/>
          <w:color w:val="000000"/>
          <w:lang w:bidi="en-US"/>
        </w:rPr>
        <w:t xml:space="preserve"> needs to i</w:t>
      </w:r>
      <w:r>
        <w:rPr>
          <w:rFonts w:ascii="Arial" w:hAnsi="Arial" w:cs="Arial"/>
          <w:color w:val="000000"/>
          <w:lang w:bidi="en-US"/>
        </w:rPr>
        <w:t>nclude</w:t>
      </w:r>
      <w:r w:rsidRPr="0062648E">
        <w:rPr>
          <w:rFonts w:ascii="Arial" w:hAnsi="Arial" w:cs="Arial"/>
          <w:color w:val="000000"/>
          <w:lang w:bidi="en-US"/>
        </w:rPr>
        <w:t xml:space="preserve"> practice </w:t>
      </w:r>
      <w:r>
        <w:rPr>
          <w:rFonts w:ascii="Arial" w:hAnsi="Arial" w:cs="Arial"/>
          <w:color w:val="000000"/>
          <w:lang w:bidi="en-US"/>
        </w:rPr>
        <w:t>that promotes literacy skills for all</w:t>
      </w:r>
      <w:r w:rsidRPr="0062648E">
        <w:rPr>
          <w:rFonts w:ascii="Arial" w:hAnsi="Arial" w:cs="Arial"/>
          <w:color w:val="000000"/>
          <w:lang w:bidi="en-US"/>
        </w:rPr>
        <w:t xml:space="preserve"> within a whole-school policy and </w:t>
      </w:r>
      <w:r>
        <w:rPr>
          <w:rFonts w:ascii="Arial" w:hAnsi="Arial" w:cs="Arial"/>
          <w:color w:val="000000"/>
          <w:lang w:bidi="en-US"/>
        </w:rPr>
        <w:t xml:space="preserve">philosophy, including for those </w:t>
      </w:r>
      <w:r w:rsidRPr="0062648E">
        <w:rPr>
          <w:rFonts w:ascii="Arial" w:hAnsi="Arial" w:cs="Arial"/>
          <w:color w:val="000000"/>
          <w:lang w:bidi="en-US"/>
        </w:rPr>
        <w:t xml:space="preserve">with literacy difficulties. All children </w:t>
      </w:r>
      <w:r>
        <w:rPr>
          <w:rFonts w:ascii="Arial" w:hAnsi="Arial" w:cs="Arial"/>
          <w:color w:val="000000"/>
          <w:lang w:bidi="en-US"/>
        </w:rPr>
        <w:t xml:space="preserve">and young people </w:t>
      </w:r>
      <w:r w:rsidRPr="0062648E">
        <w:rPr>
          <w:rFonts w:ascii="Arial" w:hAnsi="Arial" w:cs="Arial"/>
          <w:color w:val="000000"/>
          <w:lang w:bidi="en-US"/>
        </w:rPr>
        <w:t>should be ab</w:t>
      </w:r>
      <w:r>
        <w:rPr>
          <w:rFonts w:ascii="Arial" w:hAnsi="Arial" w:cs="Arial"/>
          <w:color w:val="000000"/>
          <w:lang w:bidi="en-US"/>
        </w:rPr>
        <w:t>le to access appropriate setting-</w:t>
      </w:r>
      <w:r w:rsidRPr="0062648E">
        <w:rPr>
          <w:rFonts w:ascii="Arial" w:hAnsi="Arial" w:cs="Arial"/>
          <w:color w:val="000000"/>
          <w:lang w:bidi="en-US"/>
        </w:rPr>
        <w:t xml:space="preserve">based assessment, </w:t>
      </w:r>
      <w:proofErr w:type="gramStart"/>
      <w:r w:rsidRPr="0062648E">
        <w:rPr>
          <w:rFonts w:ascii="Arial" w:hAnsi="Arial" w:cs="Arial"/>
          <w:color w:val="000000"/>
          <w:lang w:bidi="en-US"/>
        </w:rPr>
        <w:t>intervention</w:t>
      </w:r>
      <w:proofErr w:type="gramEnd"/>
      <w:r w:rsidRPr="0062648E">
        <w:rPr>
          <w:rFonts w:ascii="Arial" w:hAnsi="Arial" w:cs="Arial"/>
          <w:color w:val="000000"/>
          <w:lang w:bidi="en-US"/>
        </w:rPr>
        <w:t xml:space="preserve"> and support, from the time their difficulties become apparent.</w:t>
      </w:r>
    </w:p>
    <w:p w14:paraId="62922FC1" w14:textId="77777777" w:rsidR="005112F6" w:rsidRPr="005112F6" w:rsidRDefault="005112F6" w:rsidP="005112F6">
      <w:pPr>
        <w:pStyle w:val="ListParagraph"/>
        <w:rPr>
          <w:rFonts w:ascii="Arial" w:hAnsi="Arial" w:cs="Arial"/>
        </w:rPr>
      </w:pPr>
    </w:p>
    <w:p w14:paraId="47ECCD70" w14:textId="441D732F" w:rsidR="005112F6" w:rsidRPr="005112F6" w:rsidRDefault="005112F6" w:rsidP="005112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14DB5">
        <w:rPr>
          <w:rFonts w:ascii="Arial" w:hAnsi="Arial" w:cs="Arial"/>
          <w:iCs/>
          <w:color w:val="000000"/>
          <w:lang w:bidi="en-US"/>
        </w:rPr>
        <w:t>The first response for educational settings occurs when staff notice individual differences and adjust their teaching. Differentiated strategies are used to support a child or young person with their learning</w:t>
      </w:r>
      <w:r>
        <w:rPr>
          <w:rFonts w:ascii="Arial" w:hAnsi="Arial" w:cs="Arial"/>
          <w:iCs/>
          <w:color w:val="000000"/>
          <w:lang w:bidi="en-US"/>
        </w:rPr>
        <w:t xml:space="preserve"> (this is known as high quality teaching).</w:t>
      </w:r>
    </w:p>
    <w:p w14:paraId="6B1723E0" w14:textId="77777777" w:rsidR="005112F6" w:rsidRPr="005112F6" w:rsidRDefault="005112F6" w:rsidP="005112F6">
      <w:pPr>
        <w:pStyle w:val="ListParagraph"/>
        <w:rPr>
          <w:rFonts w:ascii="Arial" w:hAnsi="Arial" w:cs="Arial"/>
        </w:rPr>
      </w:pPr>
    </w:p>
    <w:p w14:paraId="5705521C" w14:textId="77777777" w:rsidR="005112F6" w:rsidRDefault="005112F6" w:rsidP="005112F6">
      <w:pPr>
        <w:pStyle w:val="ListParagraph"/>
        <w:numPr>
          <w:ilvl w:val="0"/>
          <w:numId w:val="1"/>
        </w:numPr>
      </w:pPr>
      <w:r w:rsidRPr="005112F6">
        <w:rPr>
          <w:rFonts w:ascii="Arial" w:hAnsi="Arial" w:cs="Arial"/>
          <w:color w:val="000000"/>
          <w:lang w:bidi="en-US"/>
        </w:rPr>
        <w:t xml:space="preserve">Personalised specialist support should be made available to those children and young people who require a more intensive approach tailored to their specific difficulties. </w:t>
      </w:r>
    </w:p>
    <w:p w14:paraId="022BE766" w14:textId="68E33E67" w:rsidR="005112F6" w:rsidRDefault="005112F6" w:rsidP="005112F6">
      <w:pPr>
        <w:pStyle w:val="ListParagraph"/>
        <w:ind w:left="420"/>
      </w:pPr>
      <w:r w:rsidRPr="005112F6">
        <w:rPr>
          <w:rFonts w:ascii="Arial" w:hAnsi="Arial" w:cs="Arial"/>
          <w:color w:val="000000"/>
          <w:lang w:bidi="en-US"/>
        </w:rPr>
        <w:t>This could be by an educational psychologist or specialist teacher</w:t>
      </w:r>
      <w:r>
        <w:rPr>
          <w:rFonts w:ascii="Arial" w:hAnsi="Arial" w:cs="Arial"/>
          <w:color w:val="000000"/>
          <w:lang w:bidi="en-US"/>
        </w:rPr>
        <w:t xml:space="preserve"> for</w:t>
      </w:r>
      <w:r w:rsidRPr="005112F6">
        <w:rPr>
          <w:rFonts w:ascii="Arial" w:hAnsi="Arial" w:cs="Arial"/>
          <w:color w:val="000000"/>
          <w:lang w:bidi="en-US"/>
        </w:rPr>
        <w:t xml:space="preserve"> assessments </w:t>
      </w:r>
      <w:r>
        <w:rPr>
          <w:rFonts w:ascii="Arial" w:hAnsi="Arial" w:cs="Arial"/>
          <w:color w:val="000000"/>
          <w:lang w:bidi="en-US"/>
        </w:rPr>
        <w:t xml:space="preserve">to </w:t>
      </w:r>
      <w:r w:rsidRPr="005112F6">
        <w:rPr>
          <w:rFonts w:ascii="Arial" w:hAnsi="Arial" w:cs="Arial"/>
          <w:color w:val="000000"/>
          <w:lang w:bidi="en-US"/>
        </w:rPr>
        <w:t>examine more closely the child’s individual strengths and difficulties.</w:t>
      </w:r>
    </w:p>
    <w:p w14:paraId="38D8AAA4" w14:textId="77777777" w:rsidR="005112F6" w:rsidRPr="005112F6" w:rsidRDefault="005112F6" w:rsidP="005112F6">
      <w:pPr>
        <w:pStyle w:val="ListParagraph"/>
        <w:autoSpaceDE w:val="0"/>
        <w:autoSpaceDN w:val="0"/>
        <w:adjustRightInd w:val="0"/>
        <w:spacing w:after="0" w:line="360" w:lineRule="auto"/>
        <w:ind w:left="420"/>
        <w:rPr>
          <w:rFonts w:ascii="Arial" w:hAnsi="Arial" w:cs="Arial"/>
        </w:rPr>
      </w:pPr>
    </w:p>
    <w:p w14:paraId="40402F0B" w14:textId="77777777" w:rsidR="00DE03E9" w:rsidRDefault="00DE03E9"/>
    <w:sectPr w:rsidR="00DE0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1120"/>
    <w:multiLevelType w:val="hybridMultilevel"/>
    <w:tmpl w:val="587E6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37CCC"/>
    <w:multiLevelType w:val="hybridMultilevel"/>
    <w:tmpl w:val="F0D26058"/>
    <w:lvl w:ilvl="0" w:tplc="773A7FB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E9"/>
    <w:rsid w:val="00502341"/>
    <w:rsid w:val="005112F6"/>
    <w:rsid w:val="00946987"/>
    <w:rsid w:val="00B912BA"/>
    <w:rsid w:val="00DE03E9"/>
    <w:rsid w:val="00E8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336CE"/>
  <w15:docId w15:val="{8A726683-9ABA-4B76-849C-5B71A143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Brent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Tonruk, Pinar</dc:creator>
  <cp:keywords/>
  <dc:description/>
  <cp:lastModifiedBy>Tonruk, Pinar</cp:lastModifiedBy>
  <cp:revision>1</cp:revision>
  <dcterms:created xsi:type="dcterms:W3CDTF">2023-01-04T12:54:00Z</dcterms:created>
  <dcterms:modified xsi:type="dcterms:W3CDTF">2023-01-18T16:11:00Z</dcterms:modified>
</cp:coreProperties>
</file>